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E51F" w14:textId="77777777" w:rsidR="005F6A44" w:rsidRPr="00BF645A" w:rsidRDefault="004753B5">
      <w:pPr>
        <w:pStyle w:val="normal1"/>
        <w:jc w:val="center"/>
        <w:rPr>
          <w:rFonts w:ascii="Calibri" w:eastAsia="Calibri" w:hAnsi="Calibri" w:cs="Calibri"/>
          <w:b/>
          <w:sz w:val="22"/>
          <w:szCs w:val="22"/>
        </w:rPr>
      </w:pPr>
      <w:r w:rsidRPr="00BF645A">
        <w:rPr>
          <w:rFonts w:ascii="Calibri" w:eastAsia="Calibri" w:hAnsi="Calibri" w:cs="Calibri"/>
          <w:b/>
          <w:sz w:val="22"/>
          <w:szCs w:val="22"/>
        </w:rPr>
        <w:t>Military Review</w:t>
      </w:r>
    </w:p>
    <w:p w14:paraId="70C99E57" w14:textId="77777777" w:rsidR="005F6A44" w:rsidRPr="00BF645A" w:rsidRDefault="004753B5">
      <w:pPr>
        <w:pStyle w:val="normal1"/>
        <w:jc w:val="center"/>
        <w:rPr>
          <w:rFonts w:ascii="Calibri" w:eastAsia="Calibri" w:hAnsi="Calibri" w:cs="Calibri"/>
          <w:sz w:val="22"/>
          <w:szCs w:val="22"/>
        </w:rPr>
      </w:pPr>
      <w:r w:rsidRPr="00BF645A">
        <w:rPr>
          <w:rFonts w:ascii="Calibri" w:eastAsia="Calibri" w:hAnsi="Calibri" w:cs="Calibri"/>
          <w:sz w:val="22"/>
          <w:szCs w:val="22"/>
        </w:rPr>
        <w:t>(Enero-febrero 2024)</w:t>
      </w:r>
    </w:p>
    <w:p w14:paraId="01CC65C6" w14:textId="77777777" w:rsidR="005F6A44" w:rsidRPr="00BF645A" w:rsidRDefault="005F6A44">
      <w:pPr>
        <w:pStyle w:val="normal1"/>
        <w:rPr>
          <w:rFonts w:ascii="Calibri" w:eastAsia="Calibri" w:hAnsi="Calibri" w:cs="Calibri"/>
          <w:sz w:val="22"/>
          <w:szCs w:val="22"/>
        </w:rPr>
      </w:pPr>
    </w:p>
    <w:p w14:paraId="1968FB47" w14:textId="77777777" w:rsidR="005F6A44" w:rsidRPr="00BF645A" w:rsidRDefault="004753B5">
      <w:pPr>
        <w:pStyle w:val="normal1"/>
        <w:rPr>
          <w:rFonts w:ascii="Calibri" w:eastAsia="Calibri" w:hAnsi="Calibri" w:cs="Calibri"/>
          <w:sz w:val="22"/>
          <w:szCs w:val="22"/>
        </w:rPr>
      </w:pPr>
      <w:r w:rsidRPr="00BF645A">
        <w:rPr>
          <w:rFonts w:ascii="Calibri" w:eastAsia="Calibri" w:hAnsi="Calibri" w:cs="Calibri"/>
          <w:sz w:val="22"/>
          <w:szCs w:val="22"/>
        </w:rPr>
        <w:t xml:space="preserve"> </w:t>
      </w:r>
    </w:p>
    <w:tbl>
      <w:tblPr>
        <w:tblStyle w:val="a"/>
        <w:tblW w:w="9971" w:type="dxa"/>
        <w:tblInd w:w="-168" w:type="dxa"/>
        <w:tblLayout w:type="fixed"/>
        <w:tblLook w:val="0000" w:firstRow="0" w:lastRow="0" w:firstColumn="0" w:lastColumn="0" w:noHBand="0" w:noVBand="0"/>
      </w:tblPr>
      <w:tblGrid>
        <w:gridCol w:w="2037"/>
        <w:gridCol w:w="7934"/>
      </w:tblGrid>
      <w:tr w:rsidR="005F6A44" w:rsidRPr="00BF645A" w14:paraId="3125ECE6" w14:textId="77777777">
        <w:tc>
          <w:tcPr>
            <w:tcW w:w="2037" w:type="dxa"/>
            <w:tcBorders>
              <w:top w:val="single" w:sz="4" w:space="0" w:color="000000"/>
              <w:left w:val="single" w:sz="4" w:space="0" w:color="000000"/>
              <w:bottom w:val="single" w:sz="4" w:space="0" w:color="000000"/>
            </w:tcBorders>
          </w:tcPr>
          <w:p w14:paraId="6B7C9BEC"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Referencia</w:t>
            </w:r>
          </w:p>
        </w:tc>
        <w:tc>
          <w:tcPr>
            <w:tcW w:w="7934" w:type="dxa"/>
            <w:tcBorders>
              <w:top w:val="single" w:sz="4" w:space="0" w:color="000000"/>
              <w:left w:val="single" w:sz="4" w:space="0" w:color="000000"/>
              <w:bottom w:val="single" w:sz="4" w:space="0" w:color="000000"/>
              <w:right w:val="single" w:sz="4" w:space="0" w:color="000000"/>
            </w:tcBorders>
          </w:tcPr>
          <w:p w14:paraId="2676A85E" w14:textId="77777777" w:rsidR="005F6A44" w:rsidRPr="00BF645A" w:rsidRDefault="004753B5">
            <w:pPr>
              <w:pStyle w:val="normal1"/>
              <w:widowControl w:val="0"/>
              <w:jc w:val="both"/>
              <w:rPr>
                <w:rFonts w:ascii="Calibri" w:eastAsia="Calibri" w:hAnsi="Calibri" w:cs="Calibri"/>
                <w:sz w:val="22"/>
                <w:szCs w:val="22"/>
                <w:lang w:val="en-US"/>
              </w:rPr>
            </w:pPr>
            <w:proofErr w:type="spellStart"/>
            <w:r w:rsidRPr="00BF645A">
              <w:rPr>
                <w:rFonts w:ascii="Calibri" w:eastAsia="Calibri" w:hAnsi="Calibri" w:cs="Calibri"/>
                <w:sz w:val="22"/>
                <w:szCs w:val="22"/>
                <w:lang w:val="en-US"/>
              </w:rPr>
              <w:t>Craycraft</w:t>
            </w:r>
            <w:proofErr w:type="spellEnd"/>
            <w:r w:rsidRPr="00BF645A">
              <w:rPr>
                <w:rFonts w:ascii="Calibri" w:eastAsia="Calibri" w:hAnsi="Calibri" w:cs="Calibri"/>
                <w:sz w:val="22"/>
                <w:szCs w:val="22"/>
                <w:lang w:val="en-US"/>
              </w:rPr>
              <w:t xml:space="preserve">, B. (2024). “Rebalancing the Nation's Center of Gravity. Interagency Challenges in the Wake of Pandemic Restrictions”, </w:t>
            </w:r>
            <w:r w:rsidRPr="00BF645A">
              <w:rPr>
                <w:rFonts w:ascii="Calibri" w:eastAsia="Calibri" w:hAnsi="Calibri" w:cs="Calibri"/>
                <w:i/>
                <w:sz w:val="22"/>
                <w:szCs w:val="22"/>
                <w:lang w:val="en-US"/>
              </w:rPr>
              <w:t xml:space="preserve">Military Review, </w:t>
            </w:r>
            <w:r w:rsidRPr="00BF645A">
              <w:rPr>
                <w:rFonts w:ascii="Calibri" w:eastAsia="Calibri" w:hAnsi="Calibri" w:cs="Calibri"/>
                <w:sz w:val="22"/>
                <w:szCs w:val="22"/>
                <w:lang w:val="en-US"/>
              </w:rPr>
              <w:t>104 (1) (Kansas: Army University Press), pp. 102-119.</w:t>
            </w:r>
          </w:p>
        </w:tc>
      </w:tr>
      <w:tr w:rsidR="005F6A44" w:rsidRPr="00BF645A" w14:paraId="4F115D88" w14:textId="77777777">
        <w:tc>
          <w:tcPr>
            <w:tcW w:w="2037" w:type="dxa"/>
            <w:tcBorders>
              <w:left w:val="single" w:sz="4" w:space="0" w:color="000000"/>
              <w:bottom w:val="single" w:sz="4" w:space="0" w:color="000000"/>
            </w:tcBorders>
          </w:tcPr>
          <w:p w14:paraId="16FE09BA"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Autor/es</w:t>
            </w:r>
          </w:p>
        </w:tc>
        <w:tc>
          <w:tcPr>
            <w:tcW w:w="7934" w:type="dxa"/>
            <w:tcBorders>
              <w:left w:val="single" w:sz="4" w:space="0" w:color="000000"/>
              <w:bottom w:val="single" w:sz="4" w:space="0" w:color="000000"/>
              <w:right w:val="single" w:sz="4" w:space="0" w:color="000000"/>
            </w:tcBorders>
          </w:tcPr>
          <w:p w14:paraId="2AC7D3B4" w14:textId="77777777" w:rsidR="005F6A44" w:rsidRPr="00BF645A" w:rsidRDefault="004753B5">
            <w:pPr>
              <w:pStyle w:val="normal1"/>
              <w:widowControl w:val="0"/>
              <w:jc w:val="both"/>
              <w:rPr>
                <w:rFonts w:ascii="Calibri" w:eastAsia="Calibri" w:hAnsi="Calibri" w:cs="Calibri"/>
                <w:color w:val="000000"/>
                <w:sz w:val="22"/>
                <w:szCs w:val="22"/>
                <w:lang w:val="en-US"/>
              </w:rPr>
            </w:pPr>
            <w:r w:rsidRPr="00BF645A">
              <w:rPr>
                <w:rFonts w:ascii="Calibri" w:eastAsia="Calibri" w:hAnsi="Calibri" w:cs="Calibri"/>
                <w:sz w:val="22"/>
                <w:szCs w:val="22"/>
                <w:lang w:val="en-US"/>
              </w:rPr>
              <w:t xml:space="preserve">Maj. Bradley H. </w:t>
            </w:r>
            <w:proofErr w:type="spellStart"/>
            <w:r w:rsidRPr="00BF645A">
              <w:rPr>
                <w:rFonts w:ascii="Calibri" w:eastAsia="Calibri" w:hAnsi="Calibri" w:cs="Calibri"/>
                <w:sz w:val="22"/>
                <w:szCs w:val="22"/>
                <w:lang w:val="en-US"/>
              </w:rPr>
              <w:t>Craycraft</w:t>
            </w:r>
            <w:proofErr w:type="spellEnd"/>
            <w:r w:rsidRPr="00BF645A">
              <w:rPr>
                <w:rFonts w:ascii="Calibri" w:eastAsia="Calibri" w:hAnsi="Calibri" w:cs="Calibri"/>
                <w:sz w:val="22"/>
                <w:szCs w:val="22"/>
                <w:lang w:val="en-US"/>
              </w:rPr>
              <w:t>, U.S. Army, is a military intelligence officer and a graduate of U.S. Army Command and General Staff College. He holds a BA in criminal justice from Southern Illinois University at Edwardsville, an MA from Embry Riddle Aeronautical University, and is pursuing a PhD in executive public policy from Liberty University.</w:t>
            </w:r>
          </w:p>
        </w:tc>
      </w:tr>
      <w:tr w:rsidR="005F6A44" w:rsidRPr="00BF645A" w14:paraId="1C77B918" w14:textId="77777777">
        <w:tc>
          <w:tcPr>
            <w:tcW w:w="2037" w:type="dxa"/>
            <w:tcBorders>
              <w:left w:val="single" w:sz="4" w:space="0" w:color="000000"/>
              <w:bottom w:val="single" w:sz="4" w:space="0" w:color="000000"/>
            </w:tcBorders>
          </w:tcPr>
          <w:p w14:paraId="683E0CA3"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Palabras clave</w:t>
            </w:r>
          </w:p>
        </w:tc>
        <w:tc>
          <w:tcPr>
            <w:tcW w:w="7934" w:type="dxa"/>
            <w:tcBorders>
              <w:left w:val="single" w:sz="4" w:space="0" w:color="000000"/>
              <w:bottom w:val="single" w:sz="4" w:space="0" w:color="000000"/>
              <w:right w:val="single" w:sz="4" w:space="0" w:color="000000"/>
            </w:tcBorders>
          </w:tcPr>
          <w:p w14:paraId="2F77A813" w14:textId="77777777" w:rsidR="005F6A44" w:rsidRPr="00BF645A" w:rsidRDefault="004753B5">
            <w:pPr>
              <w:pStyle w:val="normal1"/>
              <w:widowControl w:val="0"/>
              <w:jc w:val="both"/>
              <w:rPr>
                <w:rFonts w:ascii="Calibri" w:eastAsia="Calibri" w:hAnsi="Calibri" w:cs="Calibri"/>
                <w:color w:val="000000"/>
                <w:sz w:val="22"/>
                <w:szCs w:val="22"/>
                <w:lang w:val="en-US"/>
              </w:rPr>
            </w:pPr>
            <w:r w:rsidRPr="00BF645A">
              <w:rPr>
                <w:rFonts w:ascii="Calibri" w:eastAsia="Calibri" w:hAnsi="Calibri" w:cs="Calibri"/>
                <w:sz w:val="22"/>
                <w:szCs w:val="22"/>
                <w:lang w:val="en-US"/>
              </w:rPr>
              <w:t>Pandemic restrictions, nation's center of gravity (COG), paradoxical trinity, military recruitment.</w:t>
            </w:r>
          </w:p>
        </w:tc>
      </w:tr>
      <w:tr w:rsidR="005F6A44" w:rsidRPr="00BF645A" w14:paraId="78736CD9" w14:textId="77777777">
        <w:tc>
          <w:tcPr>
            <w:tcW w:w="2037" w:type="dxa"/>
            <w:tcBorders>
              <w:left w:val="single" w:sz="4" w:space="0" w:color="000000"/>
              <w:bottom w:val="single" w:sz="4" w:space="0" w:color="000000"/>
            </w:tcBorders>
          </w:tcPr>
          <w:p w14:paraId="38049F8B"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Tema</w:t>
            </w:r>
          </w:p>
        </w:tc>
        <w:tc>
          <w:tcPr>
            <w:tcW w:w="7934" w:type="dxa"/>
            <w:tcBorders>
              <w:left w:val="single" w:sz="4" w:space="0" w:color="000000"/>
              <w:bottom w:val="single" w:sz="4" w:space="0" w:color="000000"/>
              <w:right w:val="single" w:sz="4" w:space="0" w:color="000000"/>
            </w:tcBorders>
          </w:tcPr>
          <w:p w14:paraId="24695876"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Las restricciones por la pandemia han exacerbado las vulnerabilidades de los jóvenes estadounidenses, creando obstáculos significativos para el reclutamiento militar, lo que potencialmente podría desequilibrar el nation's center of gravity (COG) y afectar la voluntad de apoyar los objetivos nacionales del gobierno.</w:t>
            </w:r>
          </w:p>
        </w:tc>
      </w:tr>
      <w:tr w:rsidR="005F6A44" w:rsidRPr="00BF645A" w14:paraId="0328E891" w14:textId="77777777">
        <w:tc>
          <w:tcPr>
            <w:tcW w:w="2037" w:type="dxa"/>
            <w:tcBorders>
              <w:left w:val="single" w:sz="4" w:space="0" w:color="000000"/>
              <w:bottom w:val="single" w:sz="4" w:space="0" w:color="000000"/>
            </w:tcBorders>
          </w:tcPr>
          <w:p w14:paraId="7F23B3B2"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Argumento</w:t>
            </w:r>
          </w:p>
        </w:tc>
        <w:tc>
          <w:tcPr>
            <w:tcW w:w="7934" w:type="dxa"/>
            <w:tcBorders>
              <w:left w:val="single" w:sz="4" w:space="0" w:color="000000"/>
              <w:bottom w:val="single" w:sz="4" w:space="0" w:color="000000"/>
              <w:right w:val="single" w:sz="4" w:space="0" w:color="000000"/>
            </w:tcBorders>
          </w:tcPr>
          <w:p w14:paraId="17B19F0A"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 xml:space="preserve">Las restricciones sociales implementadas con el objetivo de controlar la pandemia, afectaron el desarrollo de los jóvenes estadounidenses de cinco a diecisiete años, pues aumentaron la inseguridad alimentaria y el costo de vida. Además, la disminución de actividad física y la transición al modelo híbrido-remoto de aprendizaje complicaron el desarrollo físico y social, así como el rendimiento cognitivo de los niños. </w:t>
            </w:r>
          </w:p>
          <w:p w14:paraId="142F015A" w14:textId="781C70D8"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Lo anterior, ha resultado en la disminución del reclutamiento militar por motivos de salud, educación, comportamiento y aptitud física. Asimismo, la tendencia de las generaciones Z y Alpha a preferir el trabajo remoto y el aumento en casos de estrés y ansiedad, exigen un cambio en la estrategia del reclutamiento militar tradicional.</w:t>
            </w:r>
          </w:p>
          <w:p w14:paraId="6A538E71"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En la trinidad paradójica estadounidense (gobierno, pueblo y ejército), el pueblo es el COG, que equilibra las tensiones entre los militares y el gobierno para conseguir los objetivos nacionales. Para equilibrar las tensiones, se deben cumplir dos requisitos críticos: resiliencia y cohesión social; que se refieren a la capacidad de la población de aceptar los costes asociados a la persecución de los objetivos nacionales y a la solidaridad entre las personas para enfrentar problemas en comunidad. En contraste, si las vulnerabilidades del pueblo (condiciones socioeconómicas, desarrollo educativo y salud integral) son explotadas por adversarios, podrían perturbar el nation's relative COG.</w:t>
            </w:r>
          </w:p>
          <w:p w14:paraId="228C8076"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Es necesaria una respuesta interinstitucional concertada para abordar las vulnerabilidades exacerbadas por las restricciones pandémicas para reforzar la resiliencia y la cohesión social de los jóvenes estadounidenses y preservar el nation's relative COG. En consecuencia, se propone la formación del Joint Interagency Task Force (JIATF) compuesto por organizaciones de defensa, inteligencia, agencias nacionales, academia y partes interesadas del sector privado y liderado por el Department of Health and Human Services (HHS) con el objetivo de restaurar las condiciones pre–pandemia para 2030, en términos del bienestar y la resiliencia de los jóvenes estadounidenses.</w:t>
            </w:r>
          </w:p>
        </w:tc>
      </w:tr>
      <w:tr w:rsidR="005F6A44" w:rsidRPr="00BF645A" w14:paraId="085ECC78" w14:textId="77777777">
        <w:tc>
          <w:tcPr>
            <w:tcW w:w="2037" w:type="dxa"/>
            <w:tcBorders>
              <w:left w:val="single" w:sz="4" w:space="0" w:color="000000"/>
              <w:bottom w:val="single" w:sz="4" w:space="0" w:color="000000"/>
            </w:tcBorders>
          </w:tcPr>
          <w:p w14:paraId="536EB0E8"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Concepción de guerra</w:t>
            </w:r>
          </w:p>
        </w:tc>
        <w:tc>
          <w:tcPr>
            <w:tcW w:w="7934" w:type="dxa"/>
            <w:tcBorders>
              <w:left w:val="single" w:sz="4" w:space="0" w:color="000000"/>
              <w:bottom w:val="single" w:sz="4" w:space="0" w:color="000000"/>
              <w:right w:val="single" w:sz="4" w:space="0" w:color="000000"/>
            </w:tcBorders>
          </w:tcPr>
          <w:p w14:paraId="588590E5"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 xml:space="preserve">A partir de reconocer la guerra como naturalmente impredecible y caótica, se entiende que los adversarios extranjeros (principalmente China y Rusia) buscan manipular directa o indirectamente la trinidad paradójica de los Estados Unidos, desequilibrando así el nation's relative COG para disminuir su influencia en los asuntos internacionales. </w:t>
            </w:r>
          </w:p>
          <w:p w14:paraId="17147F28"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 xml:space="preserve">Además, tomando en cuenta que las restricciones por la pandemia han acelerado la relevancia de los medios digitales, es posible aprovechar cada vez más el ciberespacio </w:t>
            </w:r>
            <w:r w:rsidRPr="00BF645A">
              <w:rPr>
                <w:rFonts w:ascii="Calibri" w:eastAsia="Calibri" w:hAnsi="Calibri" w:cs="Calibri"/>
                <w:sz w:val="22"/>
                <w:szCs w:val="22"/>
              </w:rPr>
              <w:lastRenderedPageBreak/>
              <w:t>para influenciar las perspectivas de los jóvenes estadounidenses (incluidas sus opiniones sobre el gobierno, el ejército y el papel de la nación en los asuntos internacionales) y de esa forma salvaguardar o alterar la resiliencia y la cohesión social de la población.</w:t>
            </w:r>
          </w:p>
        </w:tc>
      </w:tr>
      <w:tr w:rsidR="005F6A44" w:rsidRPr="00BF645A" w14:paraId="7B141B43" w14:textId="77777777">
        <w:tc>
          <w:tcPr>
            <w:tcW w:w="2037" w:type="dxa"/>
            <w:tcBorders>
              <w:left w:val="single" w:sz="4" w:space="0" w:color="000000"/>
              <w:bottom w:val="single" w:sz="4" w:space="0" w:color="000000"/>
            </w:tcBorders>
          </w:tcPr>
          <w:p w14:paraId="37D6CE24"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lastRenderedPageBreak/>
              <w:t>Metodología para enfrentar las amenazas</w:t>
            </w:r>
          </w:p>
        </w:tc>
        <w:tc>
          <w:tcPr>
            <w:tcW w:w="7934" w:type="dxa"/>
            <w:tcBorders>
              <w:left w:val="single" w:sz="4" w:space="0" w:color="000000"/>
              <w:bottom w:val="single" w:sz="4" w:space="0" w:color="000000"/>
              <w:right w:val="single" w:sz="4" w:space="0" w:color="000000"/>
            </w:tcBorders>
          </w:tcPr>
          <w:p w14:paraId="46AF1DE9"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El nation's relative COG es la fuente primaria de fuerza moral o física, poder y resistencia dentro del sistema, por eso es fundamental identificar y proteger el COG mientras se influye directa o indirectamente en el COG del adversario para lograr una ventaja. En ese sentido, el análisis de los componentes de la trinidad paradójica es necesario para identificar capacidades, requisitos y vulnerabilidades, evaluar su valor y priorizar su contribución al COG.</w:t>
            </w:r>
          </w:p>
          <w:p w14:paraId="471B3D86"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Por lo anterior, Craycraft propone atender las vulnerabilidades exacerbadas por las restricciones pandémicas a partir de integrar el Joint Interagency Task Force (JIATF). Este debe ser capaz de recopilar información para identificar y abordar los obstáculos del desarrollo en los niños y jóvenes estadounidenses en términos de resiliencia cibernética, desarrollo del aprendizaje, preparación de la fuerza, salud integral, situación socioeconómica y compromiso cívico.</w:t>
            </w:r>
          </w:p>
        </w:tc>
      </w:tr>
      <w:tr w:rsidR="005F6A44" w:rsidRPr="00BF645A" w14:paraId="27BC15E2" w14:textId="77777777">
        <w:tc>
          <w:tcPr>
            <w:tcW w:w="2037" w:type="dxa"/>
            <w:tcBorders>
              <w:left w:val="single" w:sz="4" w:space="0" w:color="000000"/>
              <w:bottom w:val="single" w:sz="4" w:space="0" w:color="000000"/>
            </w:tcBorders>
          </w:tcPr>
          <w:p w14:paraId="4D66D485"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Concepción de mundo/orden internacional</w:t>
            </w:r>
          </w:p>
        </w:tc>
        <w:tc>
          <w:tcPr>
            <w:tcW w:w="7934" w:type="dxa"/>
            <w:tcBorders>
              <w:left w:val="single" w:sz="4" w:space="0" w:color="000000"/>
              <w:bottom w:val="single" w:sz="4" w:space="0" w:color="000000"/>
              <w:right w:val="single" w:sz="4" w:space="0" w:color="000000"/>
            </w:tcBorders>
          </w:tcPr>
          <w:p w14:paraId="7CF3E3D4"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Se identifica el decenio 2020-2029 como vital para la reconfiguración de los asuntos globales, considerando los esfuerzos de China y Rusia para disminuir la influencia de Estados Unidos en el mundo.</w:t>
            </w:r>
          </w:p>
          <w:p w14:paraId="33784356" w14:textId="77777777" w:rsidR="005F6A44" w:rsidRPr="00BF645A" w:rsidRDefault="004753B5">
            <w:pPr>
              <w:pStyle w:val="normal1"/>
              <w:widowControl w:val="0"/>
              <w:jc w:val="both"/>
              <w:rPr>
                <w:rFonts w:ascii="Calibri" w:eastAsia="Calibri" w:hAnsi="Calibri" w:cs="Calibri"/>
                <w:sz w:val="22"/>
                <w:szCs w:val="22"/>
              </w:rPr>
            </w:pPr>
            <w:r w:rsidRPr="00BF645A">
              <w:rPr>
                <w:rFonts w:ascii="Calibri" w:eastAsia="Calibri" w:hAnsi="Calibri" w:cs="Calibri"/>
                <w:sz w:val="22"/>
                <w:szCs w:val="22"/>
              </w:rPr>
              <w:t>Se considera la década actual como decisiva para establecer el tono futuro de los conflictos y asuntos internacionales, por lo que el apoyo del pueblo a los objetivos nacionales del gobierno desempeña un papel crucial en el éxito o el fracaso de los conflictos.</w:t>
            </w:r>
          </w:p>
        </w:tc>
      </w:tr>
      <w:tr w:rsidR="005F6A44" w:rsidRPr="00BF645A" w14:paraId="1E295BCE" w14:textId="77777777">
        <w:tc>
          <w:tcPr>
            <w:tcW w:w="2037" w:type="dxa"/>
            <w:tcBorders>
              <w:left w:val="single" w:sz="4" w:space="0" w:color="000000"/>
              <w:bottom w:val="single" w:sz="4" w:space="0" w:color="000000"/>
            </w:tcBorders>
          </w:tcPr>
          <w:p w14:paraId="75A03832"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Fuerzas mencionadas en el artículo</w:t>
            </w:r>
          </w:p>
        </w:tc>
        <w:tc>
          <w:tcPr>
            <w:tcW w:w="7934" w:type="dxa"/>
            <w:tcBorders>
              <w:left w:val="single" w:sz="4" w:space="0" w:color="000000"/>
              <w:bottom w:val="single" w:sz="4" w:space="0" w:color="000000"/>
              <w:right w:val="single" w:sz="4" w:space="0" w:color="000000"/>
            </w:tcBorders>
          </w:tcPr>
          <w:p w14:paraId="1E98BFBE" w14:textId="77777777" w:rsidR="005F6A44" w:rsidRPr="00BF645A" w:rsidRDefault="004753B5">
            <w:pPr>
              <w:pStyle w:val="normal1"/>
              <w:widowControl w:val="0"/>
              <w:rPr>
                <w:rFonts w:ascii="Calibri" w:eastAsia="Calibri" w:hAnsi="Calibri" w:cs="Calibri"/>
                <w:sz w:val="22"/>
                <w:szCs w:val="22"/>
                <w:lang w:val="en-US"/>
              </w:rPr>
            </w:pPr>
            <w:r w:rsidRPr="00BF645A">
              <w:rPr>
                <w:rFonts w:ascii="Calibri" w:eastAsia="Calibri" w:hAnsi="Calibri" w:cs="Calibri"/>
                <w:sz w:val="22"/>
                <w:szCs w:val="22"/>
                <w:lang w:val="en-US"/>
              </w:rPr>
              <w:t>Army</w:t>
            </w:r>
          </w:p>
          <w:p w14:paraId="65008CF3" w14:textId="77777777" w:rsidR="005F6A44" w:rsidRPr="00BF645A" w:rsidRDefault="004753B5">
            <w:pPr>
              <w:pStyle w:val="normal1"/>
              <w:widowControl w:val="0"/>
              <w:rPr>
                <w:rFonts w:ascii="Calibri" w:eastAsia="Calibri" w:hAnsi="Calibri" w:cs="Calibri"/>
                <w:sz w:val="22"/>
                <w:szCs w:val="22"/>
                <w:lang w:val="en-US"/>
              </w:rPr>
            </w:pPr>
            <w:r w:rsidRPr="00BF645A">
              <w:rPr>
                <w:rFonts w:ascii="Calibri" w:eastAsia="Calibri" w:hAnsi="Calibri" w:cs="Calibri"/>
                <w:sz w:val="22"/>
                <w:szCs w:val="22"/>
                <w:lang w:val="en-US"/>
              </w:rPr>
              <w:t>Air Force</w:t>
            </w:r>
          </w:p>
          <w:p w14:paraId="612C3791" w14:textId="77777777" w:rsidR="005F6A44" w:rsidRPr="00BF645A" w:rsidRDefault="004753B5">
            <w:pPr>
              <w:pStyle w:val="normal1"/>
              <w:widowControl w:val="0"/>
              <w:rPr>
                <w:rFonts w:ascii="Calibri" w:eastAsia="Calibri" w:hAnsi="Calibri" w:cs="Calibri"/>
                <w:sz w:val="22"/>
                <w:szCs w:val="22"/>
                <w:lang w:val="en-US"/>
              </w:rPr>
            </w:pPr>
            <w:r w:rsidRPr="00BF645A">
              <w:rPr>
                <w:rFonts w:ascii="Calibri" w:eastAsia="Calibri" w:hAnsi="Calibri" w:cs="Calibri"/>
                <w:sz w:val="22"/>
                <w:szCs w:val="22"/>
                <w:lang w:val="en-US"/>
              </w:rPr>
              <w:t>Navy</w:t>
            </w:r>
          </w:p>
          <w:p w14:paraId="785CA817" w14:textId="77777777" w:rsidR="005F6A44" w:rsidRPr="00BF645A" w:rsidRDefault="004753B5">
            <w:pPr>
              <w:pStyle w:val="normal1"/>
              <w:widowControl w:val="0"/>
              <w:rPr>
                <w:rFonts w:ascii="Calibri" w:eastAsia="Calibri" w:hAnsi="Calibri" w:cs="Calibri"/>
                <w:sz w:val="22"/>
                <w:szCs w:val="22"/>
                <w:lang w:val="en-US"/>
              </w:rPr>
            </w:pPr>
            <w:r w:rsidRPr="00BF645A">
              <w:rPr>
                <w:rFonts w:ascii="Calibri" w:eastAsia="Calibri" w:hAnsi="Calibri" w:cs="Calibri"/>
                <w:sz w:val="22"/>
                <w:szCs w:val="22"/>
                <w:lang w:val="en-US"/>
              </w:rPr>
              <w:t>Marine Corps</w:t>
            </w:r>
          </w:p>
          <w:p w14:paraId="15A96236" w14:textId="77777777" w:rsidR="005F6A44" w:rsidRPr="00BF645A" w:rsidRDefault="004753B5">
            <w:pPr>
              <w:pStyle w:val="normal1"/>
              <w:widowControl w:val="0"/>
              <w:rPr>
                <w:rFonts w:ascii="Calibri" w:eastAsia="Calibri" w:hAnsi="Calibri" w:cs="Calibri"/>
                <w:color w:val="FF0000"/>
                <w:sz w:val="22"/>
                <w:szCs w:val="22"/>
              </w:rPr>
            </w:pPr>
            <w:r w:rsidRPr="00BF645A">
              <w:rPr>
                <w:rFonts w:ascii="Calibri" w:eastAsia="Calibri" w:hAnsi="Calibri" w:cs="Calibri"/>
                <w:sz w:val="22"/>
                <w:szCs w:val="22"/>
              </w:rPr>
              <w:t>Coast Guard</w:t>
            </w:r>
          </w:p>
        </w:tc>
      </w:tr>
      <w:tr w:rsidR="005F6A44" w:rsidRPr="00BF645A" w14:paraId="20E42D8A" w14:textId="77777777">
        <w:tc>
          <w:tcPr>
            <w:tcW w:w="2037" w:type="dxa"/>
            <w:tcBorders>
              <w:left w:val="single" w:sz="4" w:space="0" w:color="000000"/>
              <w:bottom w:val="single" w:sz="4" w:space="0" w:color="000000"/>
            </w:tcBorders>
          </w:tcPr>
          <w:p w14:paraId="33B3AB6E" w14:textId="77777777" w:rsidR="005F6A44" w:rsidRPr="00BF645A" w:rsidRDefault="004753B5">
            <w:pPr>
              <w:pStyle w:val="normal1"/>
              <w:widowControl w:val="0"/>
              <w:rPr>
                <w:rFonts w:ascii="Calibri" w:eastAsia="Calibri" w:hAnsi="Calibri" w:cs="Calibri"/>
                <w:b/>
                <w:sz w:val="22"/>
                <w:szCs w:val="22"/>
              </w:rPr>
            </w:pPr>
            <w:r w:rsidRPr="00BF645A">
              <w:rPr>
                <w:rFonts w:ascii="Calibri" w:eastAsia="Calibri" w:hAnsi="Calibri" w:cs="Calibri"/>
                <w:b/>
                <w:sz w:val="22"/>
                <w:szCs w:val="22"/>
              </w:rPr>
              <w:t>Documentos militares citados</w:t>
            </w:r>
          </w:p>
        </w:tc>
        <w:tc>
          <w:tcPr>
            <w:tcW w:w="7934" w:type="dxa"/>
            <w:tcBorders>
              <w:left w:val="single" w:sz="4" w:space="0" w:color="000000"/>
              <w:bottom w:val="single" w:sz="4" w:space="0" w:color="000000"/>
              <w:right w:val="single" w:sz="4" w:space="0" w:color="000000"/>
            </w:tcBorders>
          </w:tcPr>
          <w:p w14:paraId="0EC45A47" w14:textId="77777777" w:rsidR="005F6A44" w:rsidRPr="00BF645A" w:rsidRDefault="004753B5">
            <w:pPr>
              <w:pStyle w:val="normal1"/>
              <w:widowControl w:val="0"/>
              <w:rPr>
                <w:rFonts w:ascii="Calibri" w:eastAsia="Calibri" w:hAnsi="Calibri" w:cs="Calibri"/>
                <w:sz w:val="22"/>
                <w:szCs w:val="22"/>
                <w:lang w:val="en-US"/>
              </w:rPr>
            </w:pPr>
            <w:r w:rsidRPr="00BF645A">
              <w:rPr>
                <w:rFonts w:ascii="Calibri" w:eastAsia="Calibri" w:hAnsi="Calibri" w:cs="Calibri"/>
                <w:sz w:val="22"/>
                <w:szCs w:val="22"/>
                <w:lang w:val="en-US"/>
              </w:rPr>
              <w:t>2022 National Security Strategy</w:t>
            </w:r>
          </w:p>
          <w:p w14:paraId="1DC81BEE" w14:textId="77777777" w:rsidR="005F6A44" w:rsidRPr="00BF645A" w:rsidRDefault="004753B5">
            <w:pPr>
              <w:pStyle w:val="normal1"/>
              <w:widowControl w:val="0"/>
              <w:rPr>
                <w:rFonts w:ascii="Calibri" w:eastAsia="Calibri" w:hAnsi="Calibri" w:cs="Calibri"/>
                <w:color w:val="FF0000"/>
                <w:sz w:val="22"/>
                <w:szCs w:val="22"/>
                <w:lang w:val="en-US"/>
              </w:rPr>
            </w:pPr>
            <w:r w:rsidRPr="00BF645A">
              <w:rPr>
                <w:rFonts w:ascii="Calibri" w:eastAsia="Calibri" w:hAnsi="Calibri" w:cs="Calibri"/>
                <w:sz w:val="22"/>
                <w:szCs w:val="22"/>
                <w:lang w:val="en-US"/>
              </w:rPr>
              <w:t>Public Health Emergency Declaration as the Result of the 2019 Novel Coronavirus</w:t>
            </w:r>
          </w:p>
        </w:tc>
      </w:tr>
      <w:tr w:rsidR="005F6A44" w:rsidRPr="00BF645A" w14:paraId="21F01DFD" w14:textId="77777777">
        <w:tc>
          <w:tcPr>
            <w:tcW w:w="2037" w:type="dxa"/>
            <w:tcBorders>
              <w:left w:val="single" w:sz="4" w:space="0" w:color="000000"/>
              <w:bottom w:val="single" w:sz="4" w:space="0" w:color="000000"/>
            </w:tcBorders>
          </w:tcPr>
          <w:p w14:paraId="6CB3C3D3"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Enlace electrónico del artículo</w:t>
            </w:r>
          </w:p>
        </w:tc>
        <w:tc>
          <w:tcPr>
            <w:tcW w:w="7934" w:type="dxa"/>
            <w:tcBorders>
              <w:left w:val="single" w:sz="4" w:space="0" w:color="000000"/>
              <w:bottom w:val="single" w:sz="4" w:space="0" w:color="000000"/>
              <w:right w:val="single" w:sz="4" w:space="0" w:color="000000"/>
            </w:tcBorders>
          </w:tcPr>
          <w:p w14:paraId="476C5470" w14:textId="77777777" w:rsidR="005F6A44" w:rsidRPr="00BF645A" w:rsidRDefault="004753B5">
            <w:pPr>
              <w:pStyle w:val="normal1"/>
              <w:widowControl w:val="0"/>
              <w:rPr>
                <w:rFonts w:ascii="Calibri" w:eastAsia="Calibri" w:hAnsi="Calibri" w:cs="Calibri"/>
                <w:color w:val="000000"/>
                <w:sz w:val="22"/>
                <w:szCs w:val="22"/>
              </w:rPr>
            </w:pPr>
            <w:r w:rsidRPr="00BF645A">
              <w:rPr>
                <w:rFonts w:ascii="Calibri" w:eastAsia="Calibri" w:hAnsi="Calibri" w:cs="Calibri"/>
                <w:sz w:val="22"/>
                <w:szCs w:val="22"/>
              </w:rPr>
              <w:t>https://www.armyupress.army.mil/Journals/Military-Review/English-Edition-Archives/January-February-2024/Craycraft/</w:t>
            </w:r>
          </w:p>
        </w:tc>
      </w:tr>
      <w:tr w:rsidR="005F6A44" w:rsidRPr="00BF645A" w14:paraId="3B40BD1F" w14:textId="77777777">
        <w:tc>
          <w:tcPr>
            <w:tcW w:w="2037" w:type="dxa"/>
            <w:tcBorders>
              <w:left w:val="single" w:sz="4" w:space="0" w:color="000000"/>
              <w:bottom w:val="single" w:sz="4" w:space="0" w:color="000000"/>
            </w:tcBorders>
          </w:tcPr>
          <w:p w14:paraId="13BB2976" w14:textId="77777777" w:rsidR="005F6A44" w:rsidRPr="00BF645A" w:rsidRDefault="004753B5">
            <w:pPr>
              <w:pStyle w:val="normal1"/>
              <w:widowControl w:val="0"/>
              <w:rPr>
                <w:rFonts w:ascii="Calibri" w:eastAsia="Calibri" w:hAnsi="Calibri" w:cs="Calibri"/>
                <w:b/>
                <w:color w:val="000000"/>
                <w:sz w:val="22"/>
                <w:szCs w:val="22"/>
              </w:rPr>
            </w:pPr>
            <w:r w:rsidRPr="00BF645A">
              <w:rPr>
                <w:rFonts w:ascii="Calibri" w:eastAsia="Calibri" w:hAnsi="Calibri" w:cs="Calibri"/>
                <w:b/>
                <w:color w:val="000000"/>
                <w:sz w:val="22"/>
                <w:szCs w:val="22"/>
              </w:rPr>
              <w:t>Persona que elaboró la ficha</w:t>
            </w:r>
          </w:p>
        </w:tc>
        <w:tc>
          <w:tcPr>
            <w:tcW w:w="7934" w:type="dxa"/>
            <w:tcBorders>
              <w:left w:val="single" w:sz="4" w:space="0" w:color="000000"/>
              <w:bottom w:val="single" w:sz="4" w:space="0" w:color="000000"/>
              <w:right w:val="single" w:sz="4" w:space="0" w:color="000000"/>
            </w:tcBorders>
          </w:tcPr>
          <w:p w14:paraId="0E325056" w14:textId="77777777" w:rsidR="005F6A44" w:rsidRPr="00BF645A" w:rsidRDefault="004753B5">
            <w:pPr>
              <w:pStyle w:val="normal1"/>
              <w:widowControl w:val="0"/>
              <w:rPr>
                <w:rFonts w:ascii="Calibri" w:eastAsia="Calibri" w:hAnsi="Calibri" w:cs="Calibri"/>
                <w:color w:val="000000"/>
                <w:sz w:val="22"/>
                <w:szCs w:val="22"/>
              </w:rPr>
            </w:pPr>
            <w:r w:rsidRPr="00BF645A">
              <w:rPr>
                <w:rFonts w:ascii="Calibri" w:eastAsia="Calibri" w:hAnsi="Calibri" w:cs="Calibri"/>
                <w:sz w:val="22"/>
                <w:szCs w:val="22"/>
              </w:rPr>
              <w:t>Bruno Garduño Guerrero</w:t>
            </w:r>
          </w:p>
        </w:tc>
      </w:tr>
    </w:tbl>
    <w:p w14:paraId="3DA42BD9" w14:textId="77777777" w:rsidR="005F6A44" w:rsidRPr="00BF645A" w:rsidRDefault="005F6A44">
      <w:pPr>
        <w:pStyle w:val="normal1"/>
        <w:rPr>
          <w:rFonts w:ascii="Calibri" w:eastAsia="Calibri" w:hAnsi="Calibri" w:cs="Calibri"/>
          <w:sz w:val="22"/>
          <w:szCs w:val="22"/>
        </w:rPr>
      </w:pPr>
    </w:p>
    <w:sectPr w:rsidR="005F6A44" w:rsidRPr="00BF645A">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44"/>
    <w:rsid w:val="0035474D"/>
    <w:rsid w:val="004753B5"/>
    <w:rsid w:val="005F6A44"/>
    <w:rsid w:val="00BF6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FE3F"/>
  <w15:docId w15:val="{D31FD1B5-FC47-4281-9579-7652A795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bidi="hi-IN"/>
    </w:rPr>
  </w:style>
  <w:style w:type="paragraph" w:styleId="Ttulo1">
    <w:name w:val="heading 1"/>
    <w:basedOn w:val="normal1"/>
    <w:next w:val="normal1"/>
    <w:uiPriority w:val="9"/>
    <w:qFormat/>
    <w:pPr>
      <w:keepNext/>
      <w:keepLines/>
      <w:spacing w:before="480" w:after="120"/>
      <w:outlineLvl w:val="0"/>
    </w:pPr>
    <w:rPr>
      <w:b/>
      <w:sz w:val="48"/>
      <w:szCs w:val="48"/>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rPr>
  </w:style>
  <w:style w:type="paragraph" w:styleId="Ttulo5">
    <w:name w:val="heading 5"/>
    <w:basedOn w:val="normal1"/>
    <w:next w:val="normal1"/>
    <w:uiPriority w:val="9"/>
    <w:semiHidden/>
    <w:unhideWhenUsed/>
    <w:qFormat/>
    <w:pPr>
      <w:keepNext/>
      <w:keepLines/>
      <w:spacing w:before="220" w:after="40"/>
      <w:outlineLvl w:val="4"/>
    </w:pPr>
    <w:rPr>
      <w:b/>
      <w:sz w:val="22"/>
      <w:szCs w:val="22"/>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Textoindependiente"/>
    <w:uiPriority w:val="10"/>
    <w:qFormat/>
    <w:pPr>
      <w:keepNext/>
      <w:keepLines/>
      <w:spacing w:before="480" w:after="120"/>
    </w:pPr>
    <w:rPr>
      <w:b/>
      <w:sz w:val="72"/>
      <w:szCs w:val="72"/>
    </w:rPr>
  </w:style>
  <w:style w:type="character" w:styleId="Nmerodelnea">
    <w:name w:val="line numbe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normal1">
    <w:name w:val="normal1"/>
    <w:qFormat/>
    <w:rPr>
      <w:lang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Comentario">
    <w:name w:val="Comentario"/>
    <w:basedOn w:val="Normal"/>
    <w:qFormat/>
    <w:rPr>
      <w:sz w:val="20"/>
      <w:szCs w:val="20"/>
    </w:rPr>
  </w:style>
  <w:style w:type="table" w:customStyle="1" w:styleId="TableNormal0">
    <w:name w:val="Table Normal"/>
    <w:tblPr>
      <w:tblCellMar>
        <w:top w:w="0" w:type="dxa"/>
        <w:left w:w="0" w:type="dxa"/>
        <w:bottom w:w="0" w:type="dxa"/>
        <w:right w:w="0" w:type="dxa"/>
      </w:tblCellMar>
    </w:tbl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dhf9A8sF964uWeq2FMNsZpmytw==">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903</Words>
  <Characters>4972</Characters>
  <Application>Microsoft Office Word</Application>
  <DocSecurity>0</DocSecurity>
  <Lines>41</Lines>
  <Paragraphs>11</Paragraphs>
  <ScaleCrop>false</ScaleCrop>
  <Company>Universidad Nacional Autonoma de México</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ESTHER CECEÑA MARTORELLA</cp:lastModifiedBy>
  <cp:revision>3</cp:revision>
  <dcterms:created xsi:type="dcterms:W3CDTF">2024-11-19T18:31:00Z</dcterms:created>
  <dcterms:modified xsi:type="dcterms:W3CDTF">2024-12-05T01:44:00Z</dcterms:modified>
</cp:coreProperties>
</file>